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wrap="auto" w:vAnchor="margin" w:hAnchor="text" w:yAlign="inline"/>
        <w:spacing w:line="360" w:lineRule="auto"/>
        <w:jc w:val="center"/>
        <w:outlineLvl w:val="0"/>
        <w:rPr>
          <w:rFonts w:hint="default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TW" w:eastAsia="zh-TW"/>
        </w:rPr>
        <w:t>中山大学南方学院跨境电商平台系统采购项目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用户</w:t>
      </w:r>
      <w:r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  <w:t>需求书</w:t>
      </w: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 xml:space="preserve">    一、采购范围</w:t>
      </w: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数量清单如下，预算17万</w:t>
      </w:r>
      <w:r>
        <w:rPr>
          <w:rFonts w:ascii="宋体" w:hAnsi="宋体" w:eastAsia="宋体" w:cs="宋体"/>
          <w:sz w:val="24"/>
          <w:szCs w:val="24"/>
          <w:lang w:val="zh-TW"/>
        </w:rPr>
        <w:t>：</w:t>
      </w:r>
    </w:p>
    <w:tbl>
      <w:tblPr>
        <w:tblStyle w:val="7"/>
        <w:tblW w:w="76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4526"/>
        <w:gridCol w:w="993"/>
        <w:gridCol w:w="116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设备（货物）名称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跨境多平台实训系统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</w:p>
        </w:tc>
      </w:tr>
    </w:tbl>
    <w:p>
      <w:pPr>
        <w:pStyle w:val="13"/>
        <w:framePr w:wrap="auto" w:vAnchor="margin" w:hAnchor="text" w:yAlign="inline"/>
        <w:ind w:firstLine="0"/>
        <w:jc w:val="center"/>
        <w:rPr>
          <w:rFonts w:hint="default" w:ascii="宋体" w:hAnsi="宋体" w:eastAsia="宋体" w:cs="宋体"/>
          <w:sz w:val="24"/>
          <w:szCs w:val="24"/>
        </w:rPr>
      </w:pP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供应商需完成如下事项：</w:t>
      </w:r>
    </w:p>
    <w:p>
      <w:pPr>
        <w:pStyle w:val="13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供应商报价需包括设备及相关附件的采购、包装、送货、安装、验收、培训、税费、技术服务（包括技术资料的提供）、保修期保障、其它费用等一切支出。</w:t>
      </w: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b/>
          <w:bCs/>
          <w:sz w:val="24"/>
          <w:szCs w:val="24"/>
          <w:lang w:val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 xml:space="preserve">    </w:t>
      </w:r>
    </w:p>
    <w:p>
      <w:pPr>
        <w:pStyle w:val="13"/>
        <w:framePr w:wrap="auto" w:vAnchor="margin" w:hAnchor="text" w:yAlign="inline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二、商务需求</w:t>
      </w: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对供应商的资格要求：</w:t>
      </w:r>
    </w:p>
    <w:p>
      <w:pPr>
        <w:pStyle w:val="13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zh-TW"/>
        </w:rPr>
      </w:pPr>
      <w:r>
        <w:rPr>
          <w:rFonts w:ascii="宋体" w:hAnsi="宋体" w:eastAsia="宋体" w:cs="宋体"/>
          <w:sz w:val="24"/>
          <w:szCs w:val="24"/>
          <w:lang w:val="zh-TW"/>
        </w:rPr>
        <w:t>（1）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对供应商的资格要求：国内（指按国家有关规定要求注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册）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注册资金</w:t>
      </w:r>
      <w:r>
        <w:rPr>
          <w:rFonts w:hint="default" w:ascii="宋体" w:hAnsi="宋体" w:eastAsia="宋体" w:cs="宋体"/>
          <w:color w:val="auto"/>
          <w:sz w:val="24"/>
          <w:szCs w:val="24"/>
          <w:u w:color="FF0000"/>
        </w:rPr>
        <w:t>100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万元（含</w:t>
      </w:r>
      <w:r>
        <w:rPr>
          <w:rFonts w:ascii="宋体" w:hAnsi="宋体" w:eastAsia="宋体" w:cs="宋体"/>
          <w:color w:val="auto"/>
          <w:sz w:val="24"/>
          <w:szCs w:val="24"/>
        </w:rPr>
        <w:t>100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万元）以上，具备独立法人资格；具有履行合同所必须的设备和专业技术能力；提供近三年业绩清单；</w:t>
      </w:r>
    </w:p>
    <w:p>
      <w:pPr>
        <w:pStyle w:val="13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u w:color="0000FF"/>
        </w:rPr>
      </w:pPr>
      <w:r>
        <w:rPr>
          <w:rFonts w:ascii="宋体" w:hAnsi="宋体" w:eastAsia="宋体" w:cs="宋体"/>
          <w:color w:val="auto"/>
          <w:sz w:val="24"/>
          <w:szCs w:val="24"/>
          <w:lang w:val="zh-TW"/>
        </w:rPr>
        <w:t>（2）</w:t>
      </w:r>
      <w:r>
        <w:rPr>
          <w:rFonts w:hint="cs" w:ascii="宋体" w:hAnsi="宋体" w:eastAsia="宋体" w:cs="宋体"/>
          <w:color w:val="auto"/>
          <w:sz w:val="24"/>
          <w:szCs w:val="24"/>
          <w:lang w:val="zh-TW"/>
        </w:rPr>
        <w:t>投标人的证明文件不符合标</w:t>
      </w:r>
      <w:r>
        <w:rPr>
          <w:rFonts w:ascii="宋体" w:hAnsi="宋体" w:eastAsia="宋体" w:cs="宋体"/>
          <w:color w:val="auto"/>
          <w:sz w:val="24"/>
          <w:szCs w:val="24"/>
          <w:lang w:val="zh-TW"/>
        </w:rPr>
        <w:t>“</w:t>
      </w:r>
      <w:r>
        <w:rPr>
          <w:rFonts w:hint="cs" w:ascii="宋体" w:hAnsi="宋体" w:eastAsia="宋体" w:cs="宋体"/>
          <w:color w:val="auto"/>
          <w:sz w:val="24"/>
          <w:szCs w:val="24"/>
          <w:lang w:val="zh-TW"/>
        </w:rPr>
        <w:t>★</w:t>
      </w:r>
      <w:r>
        <w:rPr>
          <w:rFonts w:ascii="宋体" w:hAnsi="宋体" w:eastAsia="宋体" w:cs="宋体"/>
          <w:color w:val="auto"/>
          <w:sz w:val="24"/>
          <w:szCs w:val="24"/>
          <w:lang w:val="zh-TW"/>
        </w:rPr>
        <w:t>”</w:t>
      </w:r>
      <w:r>
        <w:rPr>
          <w:rFonts w:hint="cs" w:ascii="宋体" w:hAnsi="宋体" w:eastAsia="宋体" w:cs="宋体"/>
          <w:color w:val="auto"/>
          <w:sz w:val="24"/>
          <w:szCs w:val="24"/>
          <w:lang w:val="zh-TW"/>
        </w:rPr>
        <w:t>的任一项的，则视为未实质响应招标要求，取消其投标资格。</w:t>
      </w:r>
    </w:p>
    <w:p>
      <w:pPr>
        <w:pStyle w:val="13"/>
        <w:framePr w:wrap="auto" w:vAnchor="margin" w:hAnchor="text" w:yAlign="inline"/>
        <w:spacing w:line="360" w:lineRule="auto"/>
        <w:ind w:firstLine="468"/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color w:val="auto"/>
          <w:sz w:val="24"/>
          <w:szCs w:val="24"/>
        </w:rPr>
        <w:t>2.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软件产品必须拥有软件著作权登记证书，如是代理商投标则需提供软件制造厂商盖章的售后服务承诺。</w:t>
      </w:r>
    </w:p>
    <w:p>
      <w:pPr>
        <w:pStyle w:val="13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软件制造厂商</w:t>
      </w:r>
      <w:r>
        <w:rPr>
          <w:rFonts w:ascii="宋体" w:hAnsi="宋体" w:eastAsia="宋体" w:cs="宋体"/>
          <w:sz w:val="24"/>
          <w:szCs w:val="24"/>
        </w:rPr>
        <w:t>需有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跨境电商培训方面的合作，以便能够支撑采购方日常教学与师资培训的需要；需提供相关合作证明文件加盖平台开发单位公章。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pStyle w:val="13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安装要求：安装人员必须是经过专业培训的专业人员，安装技术及操作过程符合行业安全规范，安装过程将严格按照规范的程序实施，确保安装货物和周边设施的安全。</w:t>
      </w:r>
    </w:p>
    <w:p>
      <w:pPr>
        <w:pStyle w:val="13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zh-TW" w:eastAsia="zh-TW"/>
        </w:rPr>
      </w:pPr>
      <w:r>
        <w:rPr>
          <w:rFonts w:hint="default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合同签字生效后，以甲方发出书面通知之日起，</w:t>
      </w:r>
      <w:r>
        <w:rPr>
          <w:rFonts w:hint="default" w:ascii="宋体" w:hAnsi="宋体" w:eastAsia="宋体" w:cs="宋体"/>
          <w:sz w:val="24"/>
          <w:szCs w:val="24"/>
        </w:rPr>
        <w:t>7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个工作日内将货物运达目的地并安装完毕。</w:t>
      </w: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付款方式：</w:t>
      </w: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  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）工程安装完工后，甲乙双方办理正式竣工验收及结算手续后，甲方于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个工作日内支付结算款的</w:t>
      </w:r>
      <w:r>
        <w:rPr>
          <w:rFonts w:ascii="宋体" w:hAnsi="宋体" w:eastAsia="宋体" w:cs="宋体"/>
          <w:sz w:val="24"/>
          <w:szCs w:val="24"/>
        </w:rPr>
        <w:t>90%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pStyle w:val="13"/>
        <w:framePr w:wrap="auto" w:vAnchor="margin" w:hAnchor="text" w:yAlign="inline"/>
        <w:spacing w:line="360" w:lineRule="auto"/>
        <w:ind w:firstLine="480"/>
        <w:rPr>
          <w:rFonts w:hint="default" w:ascii="宋体" w:hAnsi="宋体" w:eastAsia="PMingLiU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）余款</w:t>
      </w:r>
      <w:r>
        <w:rPr>
          <w:rFonts w:ascii="宋体" w:hAnsi="宋体" w:eastAsia="宋体" w:cs="宋体"/>
          <w:sz w:val="24"/>
          <w:szCs w:val="24"/>
        </w:rPr>
        <w:t>10%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作为质量保证金，甲方在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年产品质量保证期满后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个工作日内无息向乙方结清余下货款。</w:t>
      </w: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b/>
          <w:bCs/>
          <w:sz w:val="24"/>
          <w:szCs w:val="24"/>
          <w:lang w:val="zh-TW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134" w:right="1440" w:bottom="1134" w:left="1318" w:header="851" w:footer="992" w:gutter="0"/>
          <w:cols w:space="720" w:num="1"/>
        </w:sectPr>
      </w:pPr>
    </w:p>
    <w:p>
      <w:pPr>
        <w:pStyle w:val="13"/>
        <w:framePr w:wrap="auto" w:vAnchor="margin" w:hAnchor="text" w:yAlign="inline"/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技术参数及要求</w:t>
      </w: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技术参数要求：</w:t>
      </w:r>
    </w:p>
    <w:tbl>
      <w:tblPr>
        <w:tblStyle w:val="7"/>
        <w:tblW w:w="1483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7"/>
        <w:gridCol w:w="1840"/>
        <w:gridCol w:w="10651"/>
        <w:gridCol w:w="818"/>
        <w:gridCol w:w="8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名称</w:t>
            </w:r>
          </w:p>
        </w:tc>
        <w:tc>
          <w:tcPr>
            <w:tcW w:w="10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设备技术参数</w:t>
            </w: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  <w:t>/</w:t>
            </w: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性能要求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跨境多平台实训系统</w:t>
            </w:r>
          </w:p>
        </w:tc>
        <w:tc>
          <w:tcPr>
            <w:tcW w:w="10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一、软件要求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★1.平台应涵盖速卖通、亚马逊、国际站（B2B）等三大跨境电商平台的主要功能，真实反映跨境电商平台特点，满足跨境电商专业人才培养实践教学的需要。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2.平台实训环节应覆盖买家前台、卖家注册、店铺开设、商品信息发布、促销信息设置，订单处理以及客服纠纷处理等跨境电子商务业务流程。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▲3.平台应可开展跨境电商选品、网络营销、视觉设计、数据分析、客户服务、跨境物流以及收款与支付等实训项目。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4.平台应支撑《跨境电子商务基础》、《跨境电商多平台运营》等课程的日常实践教学。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▲5.平台应以真实案例导入实训内容，让学生结合真实案例，对各平台的操作步骤进行深度分析学习。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6.平台应采用信息化手段全程跟踪学生每一步实训操作过程，教师可全面了解学生对知识的掌握情况，从而动态调整教学内容，让教学真正做到有的放矢。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★7.平台应可对学生的学习成绩生成直观图表，对学生成绩进行多角度客观真实的分析，以便老师掌握学生学习效果。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 xml:space="preserve">▲8.平台应设置灵活的、合理的、主客观相结合的评价机制，设置平台自动评分和教师自主评分两部分。 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二、功能要求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（一）管理员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（二）教师端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1.实训管理：实训任务部署：选择实训平台及任务，将任务部署到班级并上课。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2.实训历史：查看各班级实训历史记录。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3.成绩管理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3.1评分：查看学生完成的实训任务并给出主观性评分、评语。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3.2学生成绩：查看学生实训任务客观成绩及教师主观评分，通过搜索学生查看成绩。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3.3班级成绩：通过图表的形式，对比查看各班级成绩。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4.学生管理：查看、删除、冻结学生、学生密码的重置、批量管理学生账号。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5.班级管理：创建、修改、删除班级、批量管理班级。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（三）学生端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1.实训任务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速卖通仿真站：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1、首页：展示当前学生任务完成进度、任务得分、任务排名。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2、环球速卖实战中心：卖家、买家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（1）卖家中心：产品管理、交易、消息中心、店铺、账号及认证、营销活动、数据纵横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（2）买家中心：包含 My Orders； Message Center； Wish List； My Favourite Stores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3、任务学习中心：浏览学习内容和任务完成的情况。功能包括：任务测评、学习中心。（须提供相关软件操作截图证明，并加盖公章）。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亚马逊仿真站：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平台教师端应开发任务进度、评阅中心、任务管理中心、实训排名等功能模块，支持教师监控实训情况，评阅实训成绩，调整实训内容，以及对单个学生重置实训任务；</w:t>
            </w:r>
          </w:p>
          <w:p>
            <w:pPr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2</w:t>
            </w: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、平台学生端应开发强化训练、知识库、习题库等功能模块，夯实学生理论基础，促进理论教学与实践教学相互促进、相互融合；</w:t>
            </w:r>
          </w:p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cs="仿宋" w:asciiTheme="minorEastAsia" w:hAnsiTheme="minorEastAsia"/>
                <w:bCs/>
                <w:kern w:val="0"/>
                <w:lang w:bidi="ar"/>
              </w:rPr>
              <w:t>3、</w:t>
            </w: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平台学生端我的任务：①．作答类任务：作答类题目有客观题和主观题两种形式；可以根据自己的喜欢切换作答模式（单题和全部）。②．实操类任务：亚马逊卖家用户操作流程任务、买家用户操作流程任务。</w:t>
            </w:r>
          </w:p>
          <w:p>
            <w:pPr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4</w:t>
            </w: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.全球售实训中心：</w:t>
            </w:r>
          </w:p>
          <w:p>
            <w:pPr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（1）注册账户：卖家账户注册、买家账户注册；</w:t>
            </w:r>
          </w:p>
          <w:p>
            <w:pPr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（2）卖家中心：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设置：登录信息设置、账户信息设置、商家信息设置、退货地址设置、运费设置、FBA设置。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帮助：查看我的任务、资料中心、帮助文档；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库存：库存管理、转换FBA运输方式、添加商品、通过上传添加商品、FBA运输管理。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定价：匹配最低价、删除产品、转换FBA运输、转换自配送、保存、查询。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订单：管理订单、管理退货；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活动：创建促销、促销管理、产品组管理；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邮件：收发、编辑、删除邮件；</w:t>
            </w:r>
          </w:p>
          <w:p>
            <w:pPr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（3）买家中心：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账户设置：登录信息设置、收货地址设置、消息中心以及订单管理。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订单操作：买家下单、取消订单、联系卖家、申请退货、商品评论、订单存档、订单详情、查询订单；</w:t>
            </w:r>
          </w:p>
          <w:p>
            <w:pPr>
              <w:framePr w:wrap="auto" w:vAnchor="margin" w:hAnchor="text" w:yAlign="inline"/>
              <w:ind w:left="840" w:leftChars="400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购物车操作：查看、删除、收藏购物产商品；</w:t>
            </w:r>
          </w:p>
          <w:p>
            <w:pPr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5</w:t>
            </w: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.强化训练：配有四套强化训练习题的作答；</w:t>
            </w:r>
          </w:p>
          <w:p>
            <w:pPr>
              <w:framePr w:wrap="auto" w:vAnchor="margin" w:hAnchor="text" w:yAlign="inline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>三、资源服务要求：</w:t>
            </w:r>
          </w:p>
          <w:p>
            <w:pPr>
              <w:framePr w:wrap="auto" w:vAnchor="margin" w:hAnchor="text" w:yAlign="inline"/>
              <w:rPr>
                <w:rFonts w:hint="default"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</w:pPr>
            <w:r>
              <w:rPr>
                <w:rFonts w:cs="仿宋" w:asciiTheme="minorEastAsia" w:hAnsiTheme="minorEastAsia" w:eastAsiaTheme="minorEastAsia"/>
                <w:bCs/>
                <w:color w:val="auto"/>
                <w:kern w:val="0"/>
                <w:szCs w:val="22"/>
                <w:lang w:bidi="ar"/>
              </w:rPr>
              <w:t xml:space="preserve">★中标方必须为院校提供跨境电子商务课程相关教学资源包，包括： </w:t>
            </w:r>
          </w:p>
          <w:tbl>
            <w:tblPr>
              <w:tblStyle w:val="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6"/>
              <w:gridCol w:w="1773"/>
              <w:gridCol w:w="6010"/>
              <w:gridCol w:w="21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284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</w:p>
              </w:tc>
              <w:tc>
                <w:tcPr>
                  <w:tcW w:w="846" w:type="pct"/>
                  <w:shd w:val="clear" w:color="auto" w:fill="595959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模块</w:t>
                  </w:r>
                </w:p>
              </w:tc>
              <w:tc>
                <w:tcPr>
                  <w:tcW w:w="2867" w:type="pct"/>
                  <w:shd w:val="clear" w:color="auto" w:fill="595959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内容</w:t>
                  </w:r>
                </w:p>
              </w:tc>
              <w:tc>
                <w:tcPr>
                  <w:tcW w:w="1003" w:type="pct"/>
                  <w:shd w:val="clear" w:color="auto" w:fill="595959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846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视频</w:t>
                  </w:r>
                </w:p>
              </w:tc>
              <w:tc>
                <w:tcPr>
                  <w:tcW w:w="2867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课外扩展、课堂补充的跨境电商类视频课程。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20节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846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课件</w:t>
                  </w:r>
                </w:p>
              </w:tc>
              <w:tc>
                <w:tcPr>
                  <w:tcW w:w="2867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满足跨境电商教学知识点需要，结合当前跨境电商发展形态的PPT课件。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20个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846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作业</w:t>
                  </w:r>
                </w:p>
              </w:tc>
              <w:tc>
                <w:tcPr>
                  <w:tcW w:w="2867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配合教学知识点的随堂训练与作业。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20个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846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使用说明</w:t>
                  </w:r>
                </w:p>
              </w:tc>
              <w:tc>
                <w:tcPr>
                  <w:tcW w:w="2867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教学包使用说明。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1套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5</w:t>
                  </w:r>
                </w:p>
              </w:tc>
              <w:tc>
                <w:tcPr>
                  <w:tcW w:w="846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教学课时安排</w:t>
                  </w:r>
                </w:p>
              </w:tc>
              <w:tc>
                <w:tcPr>
                  <w:tcW w:w="2867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课程教学包使用建议。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>
                  <w:pPr>
                    <w:framePr w:wrap="auto" w:vAnchor="margin" w:hAnchor="text" w:yAlign="inline"/>
                    <w:jc w:val="center"/>
                    <w:rPr>
                      <w:rFonts w:hint="default"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</w:pPr>
                  <w:r>
                    <w:rPr>
                      <w:rFonts w:cs="仿宋" w:asciiTheme="minorEastAsia" w:hAnsiTheme="minorEastAsia" w:eastAsiaTheme="minorEastAsia"/>
                      <w:bCs/>
                      <w:color w:val="auto"/>
                      <w:kern w:val="0"/>
                      <w:szCs w:val="22"/>
                      <w:lang w:bidi="ar"/>
                    </w:rPr>
                    <w:t>1套</w:t>
                  </w:r>
                </w:p>
              </w:tc>
            </w:tr>
          </w:tbl>
          <w:p>
            <w:pPr>
              <w:pStyle w:val="16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lang w:val="zh-TW" w:eastAsia="zh-TW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lang w:val="zh-TW"/>
              </w:rPr>
              <w:t>套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color w:val="auto"/>
              </w:rPr>
              <w:t>1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13"/>
        <w:framePr w:wrap="auto" w:vAnchor="margin" w:hAnchor="text" w:yAlign="inline"/>
        <w:ind w:firstLine="0"/>
        <w:rPr>
          <w:rFonts w:hint="default" w:ascii="宋体" w:hAnsi="宋体" w:eastAsia="PMingLiU" w:cs="宋体"/>
          <w:sz w:val="24"/>
          <w:szCs w:val="24"/>
          <w:lang w:eastAsia="zh-TW"/>
        </w:rPr>
        <w:sectPr>
          <w:pgSz w:w="16840" w:h="11900" w:orient="landscape"/>
          <w:pgMar w:top="1315" w:right="1134" w:bottom="1440" w:left="1134" w:header="851" w:footer="992" w:gutter="0"/>
          <w:cols w:space="0" w:num="1"/>
        </w:sectPr>
      </w:pP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b/>
          <w:bCs/>
          <w:sz w:val="24"/>
          <w:szCs w:val="24"/>
          <w:lang w:val="zh-TW"/>
        </w:rPr>
      </w:pP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/>
        </w:rPr>
        <w:t>四</w:t>
      </w: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、服务需求</w:t>
      </w:r>
    </w:p>
    <w:p>
      <w:pPr>
        <w:pStyle w:val="13"/>
        <w:framePr w:wrap="auto" w:vAnchor="margin" w:hAnchor="text" w:yAlign="inline"/>
        <w:spacing w:line="360" w:lineRule="auto"/>
        <w:ind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zh-TW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乙方交付的产品质量保证期为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年，自该产品经甲方验收合格签字之日起算。</w:t>
      </w:r>
    </w:p>
    <w:p>
      <w:pPr>
        <w:pStyle w:val="13"/>
        <w:framePr w:wrap="auto" w:vAnchor="margin" w:hAnchor="text" w:yAlign="inline"/>
        <w:spacing w:line="360" w:lineRule="auto"/>
        <w:ind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zh-TW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自质量保证期到期之日起，由供应商提供不少于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年免费保修服务（另有特别说明的，按其要求执行）</w:t>
      </w:r>
      <w:r>
        <w:rPr>
          <w:rFonts w:ascii="宋体" w:hAnsi="宋体" w:eastAsia="宋体" w:cs="宋体"/>
          <w:sz w:val="24"/>
          <w:szCs w:val="24"/>
          <w:lang w:val="zh-TW"/>
        </w:rPr>
        <w:t>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免费保修期届满后，如甲方需要乙方继续提供维护服务，由甲乙双方另行协商。</w:t>
      </w:r>
    </w:p>
    <w:p>
      <w:pPr>
        <w:pStyle w:val="13"/>
        <w:framePr w:wrap="auto" w:vAnchor="margin" w:hAnchor="text" w:yAlign="inline"/>
        <w:spacing w:line="360" w:lineRule="auto"/>
        <w:ind w:firstLine="210" w:firstLineChars="100"/>
        <w:jc w:val="left"/>
        <w:rPr>
          <w:rFonts w:hint="default" w:ascii="宋体" w:hAnsi="宋体" w:eastAsia="宋体" w:cs="宋体"/>
          <w:lang w:val="zh-TW"/>
        </w:rPr>
      </w:pP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                                           </w:t>
      </w:r>
    </w:p>
    <w:p>
      <w:pPr>
        <w:pStyle w:val="13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color w:val="0070C0"/>
          <w:u w:color="0070C0"/>
        </w:rPr>
      </w:pPr>
    </w:p>
    <w:sectPr>
      <w:headerReference r:id="rId9" w:type="default"/>
      <w:pgSz w:w="11900" w:h="16840"/>
      <w:pgMar w:top="1440" w:right="1134" w:bottom="1318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uto" w:vAnchor="margin" w:hAnchor="text" w:yAlign="in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uto" w:vAnchor="margin" w:hAnchor="text" w:yAlign="in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/>
      <w:rPr>
        <w:rFonts w:hint="defaul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uto" w:vAnchor="margin" w:hAnchor="text" w:yAlign="inline"/>
    </w:pPr>
  </w:p>
  <w:p>
    <w:pPr>
      <w:pStyle w:val="12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2C07"/>
    <w:multiLevelType w:val="multilevel"/>
    <w:tmpl w:val="606B2C0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82AB40"/>
    <w:multiLevelType w:val="singleLevel"/>
    <w:tmpl w:val="6282AB40"/>
    <w:lvl w:ilvl="0" w:tentative="0">
      <w:start w:val="3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28"/>
    <w:rsid w:val="000412AD"/>
    <w:rsid w:val="000756AE"/>
    <w:rsid w:val="0007675A"/>
    <w:rsid w:val="00085376"/>
    <w:rsid w:val="000868FA"/>
    <w:rsid w:val="0009319F"/>
    <w:rsid w:val="000A595B"/>
    <w:rsid w:val="000A6CF7"/>
    <w:rsid w:val="000C1A14"/>
    <w:rsid w:val="00101B81"/>
    <w:rsid w:val="0019309A"/>
    <w:rsid w:val="001A7742"/>
    <w:rsid w:val="001B69F4"/>
    <w:rsid w:val="001C241F"/>
    <w:rsid w:val="001C2901"/>
    <w:rsid w:val="001C4FB4"/>
    <w:rsid w:val="001C5795"/>
    <w:rsid w:val="001D42E4"/>
    <w:rsid w:val="00266056"/>
    <w:rsid w:val="0029497E"/>
    <w:rsid w:val="002B19D1"/>
    <w:rsid w:val="002C56C1"/>
    <w:rsid w:val="002E0867"/>
    <w:rsid w:val="002E1E7B"/>
    <w:rsid w:val="00324D0E"/>
    <w:rsid w:val="00384EE5"/>
    <w:rsid w:val="003C5449"/>
    <w:rsid w:val="003E4115"/>
    <w:rsid w:val="003F5A91"/>
    <w:rsid w:val="0040568B"/>
    <w:rsid w:val="00443915"/>
    <w:rsid w:val="00451901"/>
    <w:rsid w:val="004816CF"/>
    <w:rsid w:val="004973A2"/>
    <w:rsid w:val="00497E36"/>
    <w:rsid w:val="004D1C27"/>
    <w:rsid w:val="004F0ACB"/>
    <w:rsid w:val="004F6D78"/>
    <w:rsid w:val="004F710F"/>
    <w:rsid w:val="0050174A"/>
    <w:rsid w:val="00555DBC"/>
    <w:rsid w:val="00560200"/>
    <w:rsid w:val="005669C8"/>
    <w:rsid w:val="005673EA"/>
    <w:rsid w:val="005E645B"/>
    <w:rsid w:val="005F28D2"/>
    <w:rsid w:val="00602728"/>
    <w:rsid w:val="0060356C"/>
    <w:rsid w:val="00683314"/>
    <w:rsid w:val="006C180B"/>
    <w:rsid w:val="00701DDA"/>
    <w:rsid w:val="00702C4D"/>
    <w:rsid w:val="00715785"/>
    <w:rsid w:val="007366A7"/>
    <w:rsid w:val="00746691"/>
    <w:rsid w:val="0077035F"/>
    <w:rsid w:val="00782222"/>
    <w:rsid w:val="007F055E"/>
    <w:rsid w:val="0080031C"/>
    <w:rsid w:val="00803A42"/>
    <w:rsid w:val="00820AE6"/>
    <w:rsid w:val="00845591"/>
    <w:rsid w:val="00853CF9"/>
    <w:rsid w:val="00897AC9"/>
    <w:rsid w:val="008C3A83"/>
    <w:rsid w:val="00903938"/>
    <w:rsid w:val="009139B6"/>
    <w:rsid w:val="0091683F"/>
    <w:rsid w:val="00934757"/>
    <w:rsid w:val="009713A8"/>
    <w:rsid w:val="00974D5C"/>
    <w:rsid w:val="00982900"/>
    <w:rsid w:val="009A369E"/>
    <w:rsid w:val="009B2643"/>
    <w:rsid w:val="009C1D47"/>
    <w:rsid w:val="00A076FD"/>
    <w:rsid w:val="00A55A4B"/>
    <w:rsid w:val="00A642EF"/>
    <w:rsid w:val="00A81BAF"/>
    <w:rsid w:val="00AB17A4"/>
    <w:rsid w:val="00AC3A27"/>
    <w:rsid w:val="00AF558F"/>
    <w:rsid w:val="00B27C3D"/>
    <w:rsid w:val="00B94D96"/>
    <w:rsid w:val="00BA71A7"/>
    <w:rsid w:val="00BB356B"/>
    <w:rsid w:val="00BB484B"/>
    <w:rsid w:val="00BB6A05"/>
    <w:rsid w:val="00BD7CBD"/>
    <w:rsid w:val="00C9628E"/>
    <w:rsid w:val="00CB3240"/>
    <w:rsid w:val="00D055A9"/>
    <w:rsid w:val="00D20C37"/>
    <w:rsid w:val="00D5279D"/>
    <w:rsid w:val="00D7062D"/>
    <w:rsid w:val="00D72808"/>
    <w:rsid w:val="00DE1987"/>
    <w:rsid w:val="00E00A62"/>
    <w:rsid w:val="00E07225"/>
    <w:rsid w:val="00E134D1"/>
    <w:rsid w:val="00E16C52"/>
    <w:rsid w:val="00E232BD"/>
    <w:rsid w:val="00E5277A"/>
    <w:rsid w:val="00E55A19"/>
    <w:rsid w:val="00EC7B62"/>
    <w:rsid w:val="00ED4A77"/>
    <w:rsid w:val="00EE38BF"/>
    <w:rsid w:val="00F35AB9"/>
    <w:rsid w:val="00F83333"/>
    <w:rsid w:val="00F92208"/>
    <w:rsid w:val="00FA0099"/>
    <w:rsid w:val="00FC5AE0"/>
    <w:rsid w:val="00FD3391"/>
    <w:rsid w:val="01FC7814"/>
    <w:rsid w:val="10EF3323"/>
    <w:rsid w:val="1D045C32"/>
    <w:rsid w:val="1F832F7E"/>
    <w:rsid w:val="22FB58BE"/>
    <w:rsid w:val="240D46C8"/>
    <w:rsid w:val="2C545CCD"/>
    <w:rsid w:val="416A342D"/>
    <w:rsid w:val="4182144E"/>
    <w:rsid w:val="44800139"/>
    <w:rsid w:val="625974AC"/>
    <w:rsid w:val="628C1B2E"/>
    <w:rsid w:val="65007DDE"/>
    <w:rsid w:val="74CC7BE3"/>
    <w:rsid w:val="75F1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framePr/>
      <w:autoSpaceDE w:val="0"/>
      <w:autoSpaceDN w:val="0"/>
      <w:adjustRightInd w:val="0"/>
      <w:jc w:val="left"/>
    </w:pPr>
    <w:rPr>
      <w:rFonts w:ascii="宋体" w:hAnsi="Tahoma"/>
      <w:sz w:val="28"/>
      <w:szCs w:val="20"/>
    </w:rPr>
  </w:style>
  <w:style w:type="paragraph" w:styleId="3">
    <w:name w:val="Plain Text"/>
    <w:basedOn w:val="1"/>
    <w:link w:val="20"/>
    <w:unhideWhenUsed/>
    <w:qFormat/>
    <w:uiPriority w:val="99"/>
    <w:pPr>
      <w:framePr w:yAlign="inline"/>
    </w:pPr>
    <w:rPr>
      <w:rFonts w:hint="default" w:ascii="Times New Roman" w:hAnsi="Times New Roman" w:eastAsia="宋体" w:cs="Times New Roman"/>
      <w:color w:val="auto"/>
      <w:szCs w:val="20"/>
    </w:rPr>
  </w:style>
  <w:style w:type="paragraph" w:styleId="4">
    <w:name w:val="Balloon Text"/>
    <w:basedOn w:val="1"/>
    <w:link w:val="19"/>
    <w:qFormat/>
    <w:uiPriority w:val="0"/>
    <w:pPr>
      <w:framePr/>
    </w:pPr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framePr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Char"/>
    <w:basedOn w:val="9"/>
    <w:link w:val="6"/>
    <w:qFormat/>
    <w:uiPriority w:val="0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  <w:style w:type="character" w:customStyle="1" w:styleId="15">
    <w:name w:val="页脚 Char"/>
    <w:basedOn w:val="9"/>
    <w:link w:val="5"/>
    <w:qFormat/>
    <w:uiPriority w:val="0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  <w:style w:type="paragraph" w:styleId="16">
    <w:name w:val="List Paragraph"/>
    <w:basedOn w:val="1"/>
    <w:qFormat/>
    <w:uiPriority w:val="1"/>
    <w:pPr>
      <w:framePr/>
      <w:ind w:firstLine="420" w:firstLineChars="200"/>
    </w:pPr>
    <w:rPr>
      <w:rFonts w:hint="default" w:asciiTheme="minorHAnsi" w:hAnsiTheme="minorHAnsi" w:eastAsiaTheme="minorEastAsia" w:cstheme="minorBidi"/>
      <w:color w:val="auto"/>
      <w:szCs w:val="22"/>
    </w:rPr>
  </w:style>
  <w:style w:type="paragraph" w:customStyle="1" w:styleId="17">
    <w:name w:val="列出段落11"/>
    <w:basedOn w:val="1"/>
    <w:qFormat/>
    <w:uiPriority w:val="0"/>
    <w:pPr>
      <w:framePr/>
      <w:ind w:firstLine="420" w:firstLineChars="200"/>
    </w:pPr>
    <w:rPr>
      <w:rFonts w:hint="default" w:ascii="Calibri" w:hAnsi="Calibri" w:eastAsia="宋体" w:cs="黑体"/>
      <w:color w:val="auto"/>
      <w:szCs w:val="22"/>
    </w:rPr>
  </w:style>
  <w:style w:type="character" w:customStyle="1" w:styleId="18">
    <w:name w:val="标题1"/>
    <w:qFormat/>
    <w:uiPriority w:val="0"/>
    <w:rPr>
      <w:rFonts w:ascii="Tahoma" w:hAnsi="Tahoma"/>
      <w:sz w:val="24"/>
    </w:rPr>
  </w:style>
  <w:style w:type="character" w:customStyle="1" w:styleId="19">
    <w:name w:val="批注框文本 Char"/>
    <w:basedOn w:val="9"/>
    <w:link w:val="4"/>
    <w:qFormat/>
    <w:uiPriority w:val="0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  <w:style w:type="character" w:customStyle="1" w:styleId="20">
    <w:name w:val="纯文本 Char"/>
    <w:basedOn w:val="9"/>
    <w:link w:val="3"/>
    <w:qFormat/>
    <w:uiPriority w:val="99"/>
    <w:rPr>
      <w:kern w:val="2"/>
      <w:sz w:val="21"/>
    </w:rPr>
  </w:style>
  <w:style w:type="paragraph" w:customStyle="1" w:styleId="21">
    <w:name w:val="Table Paragraph"/>
    <w:basedOn w:val="1"/>
    <w:qFormat/>
    <w:uiPriority w:val="1"/>
    <w:pPr>
      <w:framePr w:yAlign="inline"/>
    </w:pPr>
    <w:rPr>
      <w:rFonts w:hint="default" w:ascii="Calibri" w:hAnsi="Calibri" w:eastAsia="宋体" w:cs="Times New Roman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E47E0C-8BA4-42DA-B5A5-C3BA2AA8A0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399</Words>
  <Characters>2280</Characters>
  <Lines>19</Lines>
  <Paragraphs>5</Paragraphs>
  <TotalTime>160</TotalTime>
  <ScaleCrop>false</ScaleCrop>
  <LinksUpToDate>false</LinksUpToDate>
  <CharactersWithSpaces>2674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2020-05-25T08:19:00Z</dcterms:created>
  <dc:creator>Administrator</dc:creator>
  <cp:lastModifiedBy>Pc</cp:lastModifiedBy>
  <cp:lastPrinted>2019-12-11T08:20:00Z</cp:lastPrinted>
  <dcterms:modified xsi:type="dcterms:W3CDTF">2020-07-23T01:34:54Z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