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</w:pPr>
    </w:p>
    <w:tbl>
      <w:tblPr>
        <w:tblStyle w:val="3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广州南方学院2023年度造价咨询服务采购项目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期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质量标准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按《广州南方学院造价咨询服务采购需求书》质量标准及工作要求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下浮率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>
      <w:pPr>
        <w:spacing w:line="360" w:lineRule="auto"/>
        <w:ind w:firstLine="241" w:firstLineChars="100"/>
        <w:rPr>
          <w:rFonts w:ascii="宋体" w:hAnsi="宋体"/>
          <w:b/>
          <w:kern w:val="0"/>
          <w:sz w:val="24"/>
        </w:rPr>
      </w:pPr>
    </w:p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）本项目统一采用投标下浮率方式报价（下浮率为d%， d值精确到小数点后2位）。</w:t>
      </w:r>
    </w:p>
    <w:p>
      <w:pPr>
        <w:pStyle w:val="2"/>
        <w:ind w:firstLine="400" w:firstLineChars="200"/>
        <w:rPr>
          <w:rFonts w:hint="eastAsia" w:ascii="宋体" w:hAnsi="宋体" w:eastAsia="宋体"/>
          <w:kern w:val="0"/>
          <w:sz w:val="20"/>
          <w:szCs w:val="21"/>
          <w:lang w:eastAsia="zh-CN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）造价咨询费用计算方法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如下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：</w:t>
      </w:r>
    </w:p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1）工程概（预）算编制或审核收费标准</w:t>
      </w:r>
    </w:p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按照工程概（预）算审定造价×2.00‰×（1-下浮率d%）计算，据实结算。</w:t>
      </w:r>
    </w:p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工程概（预）算审定造价的优先级顺序为：合同价（由招标人单独发包的各专项工程）、终审概（预）算价（如果有）、一审概（预）算价、送审概（预）算价。</w:t>
      </w:r>
    </w:p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2）工程结算审核收费标准</w:t>
      </w:r>
    </w:p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工程结算审核总收费=（基本收费×4.20‰+效益收费×3.00%）×（1-下浮率d%）计算，据实支付。</w:t>
      </w:r>
    </w:p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基本收费基数为审定（终审）结算价，效益收费基数为|核减额|+|核增额|，效益收费基数为一审结算价与送审结算价的差额。</w:t>
      </w:r>
    </w:p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  <w:lang w:val="en-US" w:eastAsia="zh-CN"/>
        </w:rPr>
        <w:t>3）</w:t>
      </w:r>
      <w:r>
        <w:rPr>
          <w:rFonts w:hint="eastAsia" w:ascii="宋体" w:hAnsi="宋体"/>
          <w:kern w:val="0"/>
          <w:sz w:val="20"/>
          <w:szCs w:val="21"/>
        </w:rPr>
        <w:t>对单个项目服务费上不封顶下不兜底，据实结算。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4A23205"/>
    <w:rsid w:val="1DA11890"/>
    <w:rsid w:val="2D5819A5"/>
    <w:rsid w:val="2F272E0C"/>
    <w:rsid w:val="328176F0"/>
    <w:rsid w:val="33590124"/>
    <w:rsid w:val="340B78F6"/>
    <w:rsid w:val="455F52C6"/>
    <w:rsid w:val="59350608"/>
    <w:rsid w:val="68241FFB"/>
    <w:rsid w:val="68450F1C"/>
    <w:rsid w:val="71B1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mybody"/>
    <w:basedOn w:val="1"/>
    <w:qFormat/>
    <w:uiPriority w:val="0"/>
    <w:pPr>
      <w:widowControl/>
      <w:suppressAutoHyphens w:val="0"/>
      <w:spacing w:beforeLines="100" w:after="200" w:afterLines="100" w:line="288" w:lineRule="auto"/>
      <w:ind w:firstLine="200" w:firstLineChars="200"/>
      <w:jc w:val="left"/>
    </w:pPr>
    <w:rPr>
      <w:rFonts w:asciiTheme="minorHAnsi" w:hAnsiTheme="minorHAnsi" w:eastAsiaTheme="minorEastAsia" w:cstheme="minorBidi"/>
      <w:color w:val="000000" w:themeColor="text1"/>
      <w:kern w:val="0"/>
      <w:sz w:val="28"/>
      <w:szCs w:val="22"/>
      <w:lang w:eastAsia="en-US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202</Characters>
  <Lines>0</Lines>
  <Paragraphs>0</Paragraphs>
  <TotalTime>2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2023-04-10T08:37:47Z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F9AD585E9B4B43F087F6F70AF709827E_11</vt:lpwstr>
  </property>
</Properties>
</file>